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93" w:rsidRPr="002C3EA4" w:rsidRDefault="00AD4793" w:rsidP="00AD4793">
      <w:pPr>
        <w:pStyle w:val="Default"/>
        <w:spacing w:after="310"/>
        <w:ind w:firstLineChars="700" w:firstLine="2240"/>
        <w:rPr>
          <w:rFonts w:ascii="Times New Roman" w:cs="Times New Roman"/>
          <w:sz w:val="32"/>
          <w:szCs w:val="32"/>
        </w:rPr>
      </w:pPr>
      <w:bookmarkStart w:id="0" w:name="_GoBack"/>
      <w:bookmarkEnd w:id="0"/>
      <w:r w:rsidRPr="002C3EA4">
        <w:rPr>
          <w:rFonts w:ascii="Times New Roman" w:cs="Times New Roman" w:hint="eastAsia"/>
          <w:sz w:val="32"/>
          <w:szCs w:val="32"/>
        </w:rPr>
        <w:t>大连化物所因公出访事后公示表</w:t>
      </w:r>
    </w:p>
    <w:tbl>
      <w:tblPr>
        <w:tblW w:w="8993" w:type="dxa"/>
        <w:tblInd w:w="392" w:type="dxa"/>
        <w:tblLook w:val="0000" w:firstRow="0" w:lastRow="0" w:firstColumn="0" w:lastColumn="0" w:noHBand="0" w:noVBand="0"/>
      </w:tblPr>
      <w:tblGrid>
        <w:gridCol w:w="1573"/>
        <w:gridCol w:w="4285"/>
        <w:gridCol w:w="3072"/>
        <w:gridCol w:w="63"/>
      </w:tblGrid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A25" w:rsidRDefault="00AD4793">
            <w:pPr>
              <w:pStyle w:val="Default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出访人团组成员基本信息：</w:t>
            </w:r>
          </w:p>
          <w:p w:rsidR="00AD4793" w:rsidRPr="002C3EA4" w:rsidRDefault="00A3507A" w:rsidP="0040171F">
            <w:pPr>
              <w:pStyle w:val="Default"/>
              <w:rPr>
                <w:rFonts w:ascii="Times New Roman" w:cs="Times New Roman"/>
              </w:rPr>
            </w:pPr>
            <w:r w:rsidRPr="00A3507A">
              <w:rPr>
                <w:rFonts w:ascii="Times New Roman" w:cs="Times New Roman" w:hint="eastAsia"/>
                <w:color w:val="333333"/>
              </w:rPr>
              <w:t>参加第</w:t>
            </w:r>
            <w:r w:rsidR="00606DB8">
              <w:rPr>
                <w:rFonts w:ascii="Times New Roman" w:cs="Times New Roman"/>
                <w:color w:val="333333"/>
              </w:rPr>
              <w:t>10</w:t>
            </w:r>
            <w:r w:rsidR="00606DB8">
              <w:rPr>
                <w:rFonts w:ascii="Times New Roman" w:cs="Times New Roman" w:hint="eastAsia"/>
                <w:color w:val="333333"/>
              </w:rPr>
              <w:t>届国际多相流会议</w:t>
            </w:r>
          </w:p>
        </w:tc>
      </w:tr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39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793" w:rsidRPr="002C3EA4" w:rsidRDefault="00AD4793">
            <w:pPr>
              <w:pStyle w:val="Default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姓名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793" w:rsidRPr="002C3EA4" w:rsidRDefault="00AD4793">
            <w:pPr>
              <w:pStyle w:val="Default"/>
              <w:jc w:val="center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部门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793" w:rsidRPr="002C3EA4" w:rsidRDefault="00AD4793">
            <w:pPr>
              <w:pStyle w:val="Default"/>
              <w:jc w:val="center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职务</w:t>
            </w:r>
          </w:p>
        </w:tc>
      </w:tr>
      <w:tr w:rsidR="00656228" w:rsidRPr="002C3EA4" w:rsidTr="00220A25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411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28" w:rsidRPr="002C3EA4" w:rsidRDefault="00606DB8" w:rsidP="00A27FD2">
            <w:pPr>
              <w:pStyle w:val="Defaul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李雪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28" w:rsidRPr="002C3EA4" w:rsidRDefault="00606DB8">
            <w:pPr>
              <w:pStyle w:val="Defaul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1503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228" w:rsidRPr="002C3EA4" w:rsidRDefault="00606DB8" w:rsidP="00A27FD2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助理研究员</w:t>
            </w:r>
          </w:p>
        </w:tc>
      </w:tr>
      <w:tr w:rsidR="00606DB8" w:rsidRPr="002C3EA4" w:rsidTr="00220A25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trHeight w:val="411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DB8" w:rsidRDefault="00606DB8" w:rsidP="00A27FD2">
            <w:pPr>
              <w:pStyle w:val="Defaul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高德扬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DB8" w:rsidRPr="002C3EA4" w:rsidRDefault="00606DB8">
            <w:pPr>
              <w:pStyle w:val="Defaul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1502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DB8" w:rsidRDefault="0096712A" w:rsidP="00A27FD2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博士</w:t>
            </w:r>
            <w:r w:rsidR="00606DB8">
              <w:rPr>
                <w:rFonts w:ascii="Times New Roman" w:cs="Times New Roman" w:hint="eastAsia"/>
              </w:rPr>
              <w:t>研究生</w:t>
            </w:r>
          </w:p>
        </w:tc>
      </w:tr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298" w:rsidRPr="002C3EA4" w:rsidRDefault="00AD4793">
            <w:pPr>
              <w:pStyle w:val="Default"/>
              <w:rPr>
                <w:rFonts w:ascii="Times New Roman" w:cs="Times New Roman"/>
                <w:b/>
                <w:bCs/>
              </w:rPr>
            </w:pPr>
            <w:r w:rsidRPr="002C3EA4">
              <w:rPr>
                <w:rFonts w:ascii="Times New Roman" w:cs="Times New Roman" w:hint="eastAsia"/>
              </w:rPr>
              <w:t>实际执行情况：</w:t>
            </w:r>
            <w:r w:rsidRPr="002C3EA4">
              <w:rPr>
                <w:rFonts w:ascii="Times New Roman" w:cs="Times New Roman"/>
                <w:b/>
                <w:bCs/>
              </w:rPr>
              <w:t xml:space="preserve"> </w:t>
            </w:r>
          </w:p>
          <w:p w:rsidR="007A52F3" w:rsidRPr="002C3EA4" w:rsidRDefault="00A3507A" w:rsidP="002C3EA4">
            <w:pPr>
              <w:pStyle w:val="Default"/>
              <w:spacing w:line="360" w:lineRule="auto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5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月</w:t>
            </w:r>
            <w:r w:rsidR="00606DB8">
              <w:rPr>
                <w:rFonts w:ascii="Times New Roman" w:cs="Times New Roman"/>
                <w:b/>
                <w:bCs/>
              </w:rPr>
              <w:t>18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日</w:t>
            </w:r>
            <w:r w:rsidR="007A52F3" w:rsidRPr="002C3EA4">
              <w:rPr>
                <w:rFonts w:ascii="Times New Roman" w:cs="Times New Roman"/>
                <w:b/>
                <w:bCs/>
              </w:rPr>
              <w:tab/>
            </w:r>
            <w:r w:rsidR="00656228" w:rsidRPr="002C3EA4">
              <w:rPr>
                <w:rFonts w:ascii="Times New Roman" w:cs="Times New Roman"/>
                <w:b/>
                <w:bCs/>
              </w:rPr>
              <w:t xml:space="preserve">  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起程前往</w:t>
            </w:r>
            <w:r w:rsidR="00606DB8">
              <w:rPr>
                <w:rFonts w:ascii="Times New Roman" w:cs="Times New Roman" w:hint="eastAsia"/>
                <w:b/>
                <w:bCs/>
              </w:rPr>
              <w:t>巴西里约热内卢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，于当地时</w:t>
            </w:r>
            <w:r w:rsidR="007A52F3" w:rsidRPr="0040171F">
              <w:rPr>
                <w:rFonts w:ascii="Times New Roman" w:cs="Times New Roman" w:hint="eastAsia"/>
                <w:b/>
                <w:bCs/>
                <w:color w:val="auto"/>
              </w:rPr>
              <w:t>间</w:t>
            </w:r>
            <w:r>
              <w:rPr>
                <w:rFonts w:ascii="Times New Roman" w:cs="Times New Roman"/>
                <w:b/>
                <w:bCs/>
                <w:color w:val="auto"/>
              </w:rPr>
              <w:t>5</w:t>
            </w:r>
            <w:r w:rsidR="007A52F3" w:rsidRPr="0040171F">
              <w:rPr>
                <w:rFonts w:ascii="Times New Roman" w:cs="Times New Roman" w:hint="eastAsia"/>
                <w:b/>
                <w:bCs/>
                <w:color w:val="auto"/>
              </w:rPr>
              <w:t>月</w:t>
            </w:r>
            <w:r w:rsidR="00606DB8">
              <w:rPr>
                <w:rFonts w:ascii="Times New Roman" w:cs="Times New Roman"/>
                <w:b/>
                <w:bCs/>
                <w:color w:val="auto"/>
              </w:rPr>
              <w:t>18</w:t>
            </w:r>
            <w:r w:rsidR="007A52F3" w:rsidRPr="0040171F">
              <w:rPr>
                <w:rFonts w:ascii="Times New Roman" w:cs="Times New Roman" w:hint="eastAsia"/>
                <w:b/>
                <w:bCs/>
                <w:color w:val="auto"/>
              </w:rPr>
              <w:t>日抵达</w:t>
            </w:r>
            <w:r w:rsidR="002C3EA4" w:rsidRPr="002C3EA4">
              <w:rPr>
                <w:rFonts w:ascii="Times New Roman" w:cs="Times New Roman" w:hint="eastAsia"/>
                <w:b/>
                <w:bCs/>
              </w:rPr>
              <w:t>。</w:t>
            </w:r>
          </w:p>
          <w:p w:rsidR="007A52F3" w:rsidRPr="002C3EA4" w:rsidRDefault="00A3507A" w:rsidP="002C3EA4">
            <w:pPr>
              <w:pStyle w:val="Default"/>
              <w:spacing w:line="360" w:lineRule="auto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5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月</w:t>
            </w:r>
            <w:r w:rsidR="00606DB8">
              <w:rPr>
                <w:rFonts w:ascii="Times New Roman" w:cs="Times New Roman"/>
                <w:b/>
                <w:bCs/>
              </w:rPr>
              <w:t>19</w:t>
            </w:r>
            <w:r w:rsidR="007A52F3" w:rsidRPr="002C3EA4">
              <w:rPr>
                <w:rFonts w:ascii="Times New Roman" w:cs="Times New Roman" w:hint="eastAsia"/>
                <w:b/>
                <w:bCs/>
              </w:rPr>
              <w:t>日</w:t>
            </w:r>
            <w:r w:rsidR="00656228" w:rsidRPr="002C3EA4">
              <w:rPr>
                <w:rFonts w:ascii="Times New Roman" w:cs="Times New Roman"/>
                <w:b/>
                <w:bCs/>
              </w:rPr>
              <w:t>-</w:t>
            </w:r>
            <w:r w:rsidR="00606DB8">
              <w:rPr>
                <w:rFonts w:ascii="Times New Roman" w:cs="Times New Roman"/>
                <w:b/>
                <w:bCs/>
              </w:rPr>
              <w:t>24</w:t>
            </w:r>
            <w:r w:rsidR="00656228" w:rsidRPr="002C3EA4">
              <w:rPr>
                <w:rFonts w:ascii="Times New Roman" w:cs="Times New Roman" w:hint="eastAsia"/>
                <w:b/>
                <w:bCs/>
              </w:rPr>
              <w:t>日</w:t>
            </w:r>
            <w:r w:rsidR="00656228" w:rsidRPr="002C3EA4">
              <w:rPr>
                <w:rFonts w:ascii="Times New Roman" w:cs="Times New Roman"/>
                <w:b/>
                <w:bCs/>
              </w:rPr>
              <w:t xml:space="preserve"> </w:t>
            </w:r>
            <w:r w:rsidR="00220A25">
              <w:rPr>
                <w:rFonts w:ascii="Times New Roman" w:cs="Times New Roman"/>
                <w:b/>
                <w:bCs/>
              </w:rPr>
              <w:t xml:space="preserve"> </w:t>
            </w:r>
            <w:r w:rsidR="00BF67E2">
              <w:rPr>
                <w:rFonts w:ascii="Times New Roman" w:cs="Times New Roman"/>
                <w:b/>
                <w:bCs/>
              </w:rPr>
              <w:t xml:space="preserve">  </w:t>
            </w:r>
            <w:r w:rsidR="00A316EF" w:rsidRPr="002C3EA4">
              <w:rPr>
                <w:rFonts w:ascii="Times New Roman" w:cs="Times New Roman" w:hint="eastAsia"/>
                <w:b/>
                <w:bCs/>
              </w:rPr>
              <w:t>参会</w:t>
            </w:r>
          </w:p>
          <w:p w:rsidR="00AD4793" w:rsidRPr="002C3EA4" w:rsidRDefault="00A3507A" w:rsidP="00A3507A">
            <w:pPr>
              <w:pStyle w:val="Default"/>
              <w:spacing w:line="360" w:lineRule="auto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5</w:t>
            </w:r>
            <w:r w:rsidR="00A316EF" w:rsidRPr="002C3EA4">
              <w:rPr>
                <w:rFonts w:ascii="Times New Roman" w:cs="Times New Roman" w:hint="eastAsia"/>
                <w:b/>
                <w:bCs/>
              </w:rPr>
              <w:t>月</w:t>
            </w:r>
            <w:r w:rsidR="00606DB8">
              <w:rPr>
                <w:rFonts w:ascii="Times New Roman" w:cs="Times New Roman"/>
                <w:b/>
                <w:bCs/>
              </w:rPr>
              <w:t>24</w:t>
            </w:r>
            <w:r w:rsidR="00220A25">
              <w:rPr>
                <w:rFonts w:ascii="Times New Roman" w:cs="Times New Roman" w:hint="eastAsia"/>
                <w:b/>
                <w:bCs/>
              </w:rPr>
              <w:t>日</w:t>
            </w:r>
            <w:r w:rsidR="007A52F3" w:rsidRPr="002C3EA4">
              <w:rPr>
                <w:rFonts w:ascii="Times New Roman" w:cs="Times New Roman"/>
                <w:b/>
                <w:bCs/>
              </w:rPr>
              <w:tab/>
            </w:r>
            <w:r w:rsidR="00A316EF" w:rsidRPr="002C3EA4">
              <w:rPr>
                <w:rFonts w:ascii="Times New Roman" w:cs="Times New Roman"/>
                <w:b/>
                <w:bCs/>
              </w:rPr>
              <w:t xml:space="preserve">  </w:t>
            </w:r>
            <w:r w:rsidR="00A316EF" w:rsidRPr="002C3EA4">
              <w:rPr>
                <w:rFonts w:ascii="Times New Roman" w:cs="Times New Roman" w:hint="eastAsia"/>
                <w:b/>
                <w:bCs/>
              </w:rPr>
              <w:t>返程</w:t>
            </w:r>
            <w:r>
              <w:rPr>
                <w:rFonts w:ascii="Times New Roman" w:hint="eastAsia"/>
                <w:b/>
                <w:bCs/>
              </w:rPr>
              <w:t>巴黎</w:t>
            </w:r>
            <w:r w:rsidR="002C3EA4" w:rsidRPr="002C3EA4">
              <w:rPr>
                <w:rFonts w:ascii="Times New Roman" w:cs="Times New Roman"/>
                <w:b/>
                <w:bCs/>
              </w:rPr>
              <w:t>-</w:t>
            </w:r>
            <w:r w:rsidR="002C3EA4" w:rsidRPr="002C3EA4">
              <w:rPr>
                <w:rFonts w:ascii="Times New Roman" w:cs="Times New Roman" w:hint="eastAsia"/>
                <w:b/>
                <w:bCs/>
              </w:rPr>
              <w:t>大连</w:t>
            </w:r>
          </w:p>
        </w:tc>
      </w:tr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406" w:rsidRPr="002C3EA4" w:rsidRDefault="00AD4793" w:rsidP="002C3EA4">
            <w:pPr>
              <w:pStyle w:val="Default"/>
              <w:spacing w:line="360" w:lineRule="auto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经费开支情况：</w:t>
            </w:r>
          </w:p>
          <w:p w:rsidR="00506406" w:rsidRPr="002C3EA4" w:rsidRDefault="00506406" w:rsidP="002C3EA4">
            <w:pPr>
              <w:pStyle w:val="Default"/>
              <w:spacing w:line="360" w:lineRule="auto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机票：</w:t>
            </w:r>
            <w:r w:rsidR="007D2584">
              <w:rPr>
                <w:rFonts w:ascii="Times New Roman" w:cs="Times New Roman"/>
              </w:rPr>
              <w:t>74616</w:t>
            </w:r>
            <w:r w:rsidR="00220A25">
              <w:rPr>
                <w:rFonts w:ascii="Times New Roman" w:cs="Times New Roman" w:hint="eastAsia"/>
              </w:rPr>
              <w:t>元</w:t>
            </w:r>
          </w:p>
          <w:p w:rsidR="00AB320E" w:rsidRDefault="00506406" w:rsidP="00220A25">
            <w:pPr>
              <w:pStyle w:val="Default"/>
              <w:spacing w:line="360" w:lineRule="auto"/>
              <w:rPr>
                <w:rFonts w:ascii="Times New Roman" w:cs="Times New Roman"/>
              </w:rPr>
            </w:pPr>
            <w:r w:rsidRPr="002C3EA4">
              <w:rPr>
                <w:rFonts w:ascii="Times New Roman" w:cs="Times New Roman" w:hint="eastAsia"/>
              </w:rPr>
              <w:t>境外住宿费</w:t>
            </w:r>
            <w:r w:rsidR="007D2584">
              <w:rPr>
                <w:rFonts w:ascii="Times New Roman" w:cs="Times New Roman"/>
              </w:rPr>
              <w:t>6398</w:t>
            </w:r>
            <w:r w:rsidR="007D2584">
              <w:rPr>
                <w:rFonts w:ascii="Times New Roman" w:cs="Times New Roman" w:hint="eastAsia"/>
              </w:rPr>
              <w:t>里亚尔</w:t>
            </w:r>
            <w:r w:rsidRPr="002C3EA4">
              <w:rPr>
                <w:rFonts w:ascii="Times New Roman" w:cs="Times New Roman" w:hint="eastAsia"/>
              </w:rPr>
              <w:t>、补助费</w:t>
            </w:r>
            <w:r w:rsidR="007D2584">
              <w:rPr>
                <w:rFonts w:ascii="Times New Roman" w:cs="Times New Roman"/>
              </w:rPr>
              <w:t>450</w:t>
            </w:r>
            <w:r w:rsidR="00A3507A">
              <w:rPr>
                <w:rFonts w:ascii="Times New Roman" w:cs="Times New Roman" w:hint="eastAsia"/>
              </w:rPr>
              <w:t>欧元</w:t>
            </w:r>
            <w:r w:rsidRPr="002C3EA4">
              <w:rPr>
                <w:rFonts w:ascii="Times New Roman" w:cs="Times New Roman" w:hint="eastAsia"/>
              </w:rPr>
              <w:t>、</w:t>
            </w:r>
            <w:r w:rsidR="00A3507A">
              <w:rPr>
                <w:rFonts w:ascii="Times New Roman" w:cs="Times New Roman" w:hint="eastAsia"/>
              </w:rPr>
              <w:t>公杂费</w:t>
            </w:r>
            <w:r w:rsidR="007D2584">
              <w:rPr>
                <w:rFonts w:ascii="Times New Roman" w:cs="Times New Roman"/>
              </w:rPr>
              <w:t>405</w:t>
            </w:r>
            <w:r w:rsidR="00A3507A">
              <w:rPr>
                <w:rFonts w:ascii="Times New Roman" w:cs="Times New Roman" w:hint="eastAsia"/>
              </w:rPr>
              <w:t>欧元，</w:t>
            </w:r>
            <w:r w:rsidR="007D2584">
              <w:rPr>
                <w:rFonts w:ascii="Times New Roman" w:cs="Times New Roman" w:hint="eastAsia"/>
              </w:rPr>
              <w:t>注册费</w:t>
            </w:r>
            <w:r w:rsidR="007D2584">
              <w:rPr>
                <w:rFonts w:ascii="Times New Roman" w:cs="Times New Roman"/>
              </w:rPr>
              <w:t>1020</w:t>
            </w:r>
            <w:r w:rsidR="00A3507A">
              <w:rPr>
                <w:rFonts w:ascii="Times New Roman" w:cs="Times New Roman" w:hint="eastAsia"/>
              </w:rPr>
              <w:t>欧元，</w:t>
            </w:r>
            <w:r w:rsidR="007D2584">
              <w:rPr>
                <w:rFonts w:ascii="Times New Roman" w:cs="Times New Roman" w:hint="eastAsia"/>
              </w:rPr>
              <w:t>打车</w:t>
            </w:r>
            <w:r w:rsidR="00A3507A">
              <w:rPr>
                <w:rFonts w:ascii="Times New Roman" w:cs="Times New Roman" w:hint="eastAsia"/>
              </w:rPr>
              <w:t>费</w:t>
            </w:r>
            <w:r w:rsidR="007D2584">
              <w:rPr>
                <w:rFonts w:ascii="Times New Roman" w:cs="Times New Roman"/>
              </w:rPr>
              <w:t>510</w:t>
            </w:r>
            <w:r w:rsidR="007D2584">
              <w:rPr>
                <w:rFonts w:ascii="Times New Roman" w:cs="Times New Roman" w:hint="eastAsia"/>
              </w:rPr>
              <w:t>里亚尔，</w:t>
            </w:r>
            <w:r w:rsidR="007D2584">
              <w:rPr>
                <w:rFonts w:ascii="Times New Roman" w:cs="Times New Roman"/>
              </w:rPr>
              <w:t xml:space="preserve"> </w:t>
            </w:r>
          </w:p>
          <w:p w:rsidR="00220A25" w:rsidRPr="002C3EA4" w:rsidRDefault="007D2584" w:rsidP="007D2584">
            <w:pPr>
              <w:pStyle w:val="Default"/>
              <w:spacing w:line="360" w:lineRule="auto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签证费</w:t>
            </w:r>
            <w:r w:rsidR="00A3507A">
              <w:rPr>
                <w:rFonts w:ascii="Times New Roman" w:cs="Times New Roman" w:hint="eastAsia"/>
              </w:rPr>
              <w:t>：</w:t>
            </w:r>
            <w:r>
              <w:rPr>
                <w:rFonts w:ascii="Times New Roman" w:cs="Times New Roman"/>
              </w:rPr>
              <w:t>2596</w:t>
            </w:r>
            <w:r w:rsidR="00A3507A">
              <w:rPr>
                <w:rFonts w:ascii="Times New Roman" w:cs="Times New Roman" w:hint="eastAsia"/>
              </w:rPr>
              <w:t>元</w:t>
            </w:r>
          </w:p>
        </w:tc>
      </w:tr>
      <w:tr w:rsidR="00AD4793" w:rsidRPr="002C3EA4" w:rsidTr="00220A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298" w:rsidRPr="002C3EA4" w:rsidRDefault="00AD4793" w:rsidP="00E450D4">
            <w:pPr>
              <w:spacing w:line="360" w:lineRule="auto"/>
              <w:rPr>
                <w:rFonts w:ascii="Times New Roman" w:hAnsi="Times New Roman"/>
              </w:rPr>
            </w:pPr>
            <w:r w:rsidRPr="002C3EA4">
              <w:rPr>
                <w:rFonts w:ascii="Times New Roman" w:hAnsi="Times New Roman" w:hint="eastAsia"/>
              </w:rPr>
              <w:t>出访总结：</w:t>
            </w:r>
          </w:p>
          <w:p w:rsidR="00AD4793" w:rsidRDefault="007934D1" w:rsidP="00B520C4">
            <w:pPr>
              <w:spacing w:line="360" w:lineRule="auto"/>
              <w:ind w:firstLine="4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 w:hint="eastAsia"/>
              </w:rPr>
              <w:t>室</w:t>
            </w:r>
            <w:r w:rsidR="000424D8">
              <w:rPr>
                <w:rFonts w:ascii="Times New Roman" w:hAnsi="Times New Roman" w:hint="eastAsia"/>
              </w:rPr>
              <w:t>李雪助理研究员与</w:t>
            </w:r>
            <w:r>
              <w:rPr>
                <w:rFonts w:ascii="Times New Roman" w:hAnsi="Times New Roman" w:hint="eastAsia"/>
              </w:rPr>
              <w:t>在读</w:t>
            </w:r>
            <w:r w:rsidR="00000B65">
              <w:rPr>
                <w:rFonts w:ascii="Times New Roman" w:hAnsi="Times New Roman" w:hint="eastAsia"/>
              </w:rPr>
              <w:t>博士生</w:t>
            </w:r>
            <w:r w:rsidR="000424D8">
              <w:rPr>
                <w:rFonts w:ascii="Times New Roman" w:hAnsi="Times New Roman" w:hint="eastAsia"/>
              </w:rPr>
              <w:t>高德扬</w:t>
            </w:r>
            <w:r>
              <w:rPr>
                <w:rFonts w:ascii="Times New Roman" w:hAnsi="Times New Roman" w:hint="eastAsia"/>
              </w:rPr>
              <w:t>于</w:t>
            </w: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/>
              </w:rPr>
              <w:t>-2019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 w:hint="eastAsia"/>
              </w:rPr>
              <w:t>日出访巴西，参加了第十届国际多相流会议（</w:t>
            </w:r>
            <w:r w:rsidRPr="007934D1">
              <w:rPr>
                <w:rStyle w:val="fontstyle01"/>
                <w:rFonts w:ascii="Times New Roman" w:hAnsi="Times New Roman"/>
                <w:sz w:val="21"/>
                <w:szCs w:val="21"/>
              </w:rPr>
              <w:t>10th International Conference on Multiphase Flow</w:t>
            </w:r>
            <w:r>
              <w:rPr>
                <w:rStyle w:val="fontstyle01"/>
                <w:rFonts w:ascii="Times New Roman" w:hAnsi="Times New Roman" w:hint="eastAsia"/>
                <w:sz w:val="21"/>
                <w:szCs w:val="21"/>
              </w:rPr>
              <w:t>，简称</w:t>
            </w:r>
            <w:r>
              <w:rPr>
                <w:rStyle w:val="fontstyle01"/>
                <w:rFonts w:ascii="Times New Roman" w:hAnsi="Times New Roman"/>
                <w:sz w:val="21"/>
                <w:szCs w:val="21"/>
              </w:rPr>
              <w:t>ICMF 2019</w:t>
            </w:r>
            <w:r>
              <w:rPr>
                <w:rFonts w:ascii="Times New Roman" w:hAnsi="Times New Roman" w:hint="eastAsia"/>
              </w:rPr>
              <w:t>）。国际多相流会议是国际多相流学术界水平最高，涵盖面最广的系列性国际会议，包括气固、气液、液固和气液固流动的基础研究、数值模拟、实验研究和应用研究</w:t>
            </w:r>
            <w:r w:rsidR="00CE3396">
              <w:rPr>
                <w:rFonts w:ascii="Times New Roman" w:hAnsi="Times New Roman" w:hint="eastAsia"/>
              </w:rPr>
              <w:t>。自</w:t>
            </w:r>
            <w:r w:rsidR="00CE3396">
              <w:rPr>
                <w:rFonts w:ascii="Times New Roman" w:hAnsi="Times New Roman"/>
              </w:rPr>
              <w:t>1991</w:t>
            </w:r>
            <w:r w:rsidR="00CE3396">
              <w:rPr>
                <w:rFonts w:ascii="Times New Roman" w:hAnsi="Times New Roman" w:hint="eastAsia"/>
              </w:rPr>
              <w:t>年在日本筑波举办第一届会议之后，每三年</w:t>
            </w:r>
            <w:r w:rsidR="009A7ABA">
              <w:rPr>
                <w:rFonts w:ascii="Times New Roman" w:hAnsi="Times New Roman" w:hint="eastAsia"/>
              </w:rPr>
              <w:t>在世界范围内不同的城市</w:t>
            </w:r>
            <w:r w:rsidR="00CE3396">
              <w:rPr>
                <w:rFonts w:ascii="Times New Roman" w:hAnsi="Times New Roman" w:hint="eastAsia"/>
              </w:rPr>
              <w:t>举办一次。</w:t>
            </w:r>
            <w:r w:rsidR="009A7ABA">
              <w:rPr>
                <w:rFonts w:ascii="Times New Roman" w:hAnsi="Times New Roman" w:hint="eastAsia"/>
              </w:rPr>
              <w:t>会议期间将特邀数位知名学者</w:t>
            </w:r>
            <w:r w:rsidR="000424D8">
              <w:rPr>
                <w:rFonts w:ascii="Times New Roman" w:hAnsi="Times New Roman" w:hint="eastAsia"/>
              </w:rPr>
              <w:t>做</w:t>
            </w:r>
            <w:r w:rsidR="009A7ABA">
              <w:rPr>
                <w:rFonts w:ascii="Times New Roman" w:hAnsi="Times New Roman" w:hint="eastAsia"/>
              </w:rPr>
              <w:t>数篇</w:t>
            </w:r>
            <w:r w:rsidR="0020725A">
              <w:rPr>
                <w:rFonts w:ascii="Times New Roman" w:hAnsi="Times New Roman" w:hint="eastAsia"/>
              </w:rPr>
              <w:t>大会报告和主题报告，并邀请数百名</w:t>
            </w:r>
            <w:r w:rsidR="009A7ABA">
              <w:rPr>
                <w:rFonts w:ascii="Times New Roman" w:hAnsi="Times New Roman" w:hint="eastAsia"/>
              </w:rPr>
              <w:t>学者、专家、技术人员、学生进行口头报告</w:t>
            </w:r>
            <w:r w:rsidR="0020725A">
              <w:rPr>
                <w:rFonts w:ascii="Times New Roman" w:hAnsi="Times New Roman" w:hint="eastAsia"/>
              </w:rPr>
              <w:t>与墙报展示</w:t>
            </w:r>
            <w:r w:rsidR="009A7ABA">
              <w:rPr>
                <w:rFonts w:ascii="Times New Roman" w:hAnsi="Times New Roman" w:hint="eastAsia"/>
              </w:rPr>
              <w:t>，</w:t>
            </w:r>
            <w:r w:rsidR="0020725A">
              <w:rPr>
                <w:rFonts w:ascii="Times New Roman" w:hAnsi="Times New Roman" w:hint="eastAsia"/>
              </w:rPr>
              <w:t>为</w:t>
            </w:r>
            <w:r w:rsidR="000424D8">
              <w:rPr>
                <w:rFonts w:ascii="Times New Roman" w:hAnsi="Times New Roman" w:hint="eastAsia"/>
              </w:rPr>
              <w:t>多相流</w:t>
            </w:r>
            <w:r w:rsidR="0020725A">
              <w:rPr>
                <w:rFonts w:ascii="Times New Roman" w:hAnsi="Times New Roman" w:hint="eastAsia"/>
              </w:rPr>
              <w:t>领域内的学术交流和成果及能力的展示提供了良好的平台。</w:t>
            </w:r>
          </w:p>
          <w:p w:rsidR="00B520C4" w:rsidRPr="002C3EA4" w:rsidRDefault="00B520C4" w:rsidP="00B520C4">
            <w:pPr>
              <w:spacing w:line="360" w:lineRule="auto"/>
              <w:ind w:firstLine="435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hint="eastAsia"/>
              </w:rPr>
              <w:t>第十届国际多相流会议于</w:t>
            </w: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/>
              </w:rPr>
              <w:t>-24</w:t>
            </w:r>
            <w:r>
              <w:rPr>
                <w:rFonts w:ascii="Times New Roman" w:hAnsi="Times New Roman" w:hint="eastAsia"/>
              </w:rPr>
              <w:t>日在巴西里约热内卢举行。会议内容涵盖</w:t>
            </w:r>
            <w:r w:rsidR="00AC4DCE">
              <w:rPr>
                <w:rFonts w:ascii="Times New Roman" w:hAnsi="Times New Roman" w:hint="eastAsia"/>
              </w:rPr>
              <w:t>多相流的计算与实验方法、多相流中计算模型、气泡流与液滴流、颗粒负载流、非牛顿多相流、沸腾、凝固与蒸发、微多相流、纳米尺寸多相流、多相流中的湍流等众多研究领域。来自世界不同国家和地区的</w:t>
            </w:r>
            <w:r w:rsidR="00AC4DCE">
              <w:rPr>
                <w:rFonts w:ascii="Times New Roman" w:hAnsi="Times New Roman"/>
              </w:rPr>
              <w:t>700</w:t>
            </w:r>
            <w:r w:rsidR="00AC4DCE">
              <w:rPr>
                <w:rFonts w:ascii="Times New Roman" w:hAnsi="Times New Roman" w:hint="eastAsia"/>
              </w:rPr>
              <w:t>多名代表参加了会议，会议共有大会报告</w:t>
            </w:r>
            <w:r w:rsidR="00AC4DCE">
              <w:rPr>
                <w:rFonts w:ascii="Times New Roman" w:hAnsi="Times New Roman"/>
              </w:rPr>
              <w:t>5</w:t>
            </w:r>
            <w:r w:rsidR="00AC4DCE">
              <w:rPr>
                <w:rFonts w:ascii="Times New Roman" w:hAnsi="Times New Roman" w:hint="eastAsia"/>
              </w:rPr>
              <w:t>个，主题报告</w:t>
            </w:r>
            <w:r w:rsidR="00AC4DCE">
              <w:rPr>
                <w:rFonts w:ascii="Times New Roman" w:hAnsi="Times New Roman"/>
              </w:rPr>
              <w:t>8</w:t>
            </w:r>
            <w:r w:rsidR="00AC4DCE">
              <w:rPr>
                <w:rFonts w:ascii="Times New Roman" w:hAnsi="Times New Roman" w:hint="eastAsia"/>
              </w:rPr>
              <w:t>个，口头报告</w:t>
            </w:r>
            <w:r w:rsidR="00AC4DCE">
              <w:rPr>
                <w:rFonts w:ascii="Times New Roman" w:hAnsi="Times New Roman"/>
              </w:rPr>
              <w:t>600</w:t>
            </w:r>
            <w:r w:rsidR="00AC4DCE">
              <w:rPr>
                <w:rFonts w:ascii="Times New Roman" w:hAnsi="Times New Roman" w:hint="eastAsia"/>
              </w:rPr>
              <w:t>个和墙报</w:t>
            </w:r>
            <w:r w:rsidR="00AC4DCE">
              <w:rPr>
                <w:rFonts w:ascii="Times New Roman" w:hAnsi="Times New Roman"/>
              </w:rPr>
              <w:t>50</w:t>
            </w:r>
            <w:r w:rsidR="00AC4DCE">
              <w:rPr>
                <w:rFonts w:ascii="Times New Roman" w:hAnsi="Times New Roman" w:hint="eastAsia"/>
              </w:rPr>
              <w:t>篇。</w:t>
            </w:r>
            <w:r w:rsidR="000424D8">
              <w:rPr>
                <w:rFonts w:ascii="Times New Roman" w:hAnsi="Times New Roman" w:hint="eastAsia"/>
              </w:rPr>
              <w:t>本次出访的李雪助理研究员进行了多相流模型领域内题目为“</w:t>
            </w:r>
            <w:r w:rsidR="000424D8">
              <w:rPr>
                <w:rFonts w:ascii="Times New Roman" w:hAnsi="Times New Roman"/>
              </w:rPr>
              <w:t>A LBM model with interpolated boundary for wetting process in porous medium</w:t>
            </w:r>
            <w:r w:rsidR="000424D8">
              <w:rPr>
                <w:rFonts w:ascii="Times New Roman" w:hAnsi="Times New Roman" w:hint="eastAsia"/>
              </w:rPr>
              <w:t>”的口头报告，在读研究生高德扬进行了多相流实验方法领域内题目为</w:t>
            </w:r>
            <w:r w:rsidR="000424D8">
              <w:rPr>
                <w:rFonts w:ascii="Times New Roman" w:hAnsi="Times New Roman"/>
              </w:rPr>
              <w:t>“Multiple bubbles behavior in high viscosity liquid”</w:t>
            </w:r>
            <w:r w:rsidR="000424D8">
              <w:rPr>
                <w:rFonts w:ascii="Times New Roman" w:hAnsi="Times New Roman" w:hint="eastAsia"/>
              </w:rPr>
              <w:t>的口头报告。通过此次会议的参加，将研究室在多相流领域内模拟计算和实验方法</w:t>
            </w:r>
            <w:r w:rsidR="00AF6652">
              <w:rPr>
                <w:rFonts w:ascii="Times New Roman" w:hAnsi="Times New Roman" w:hint="eastAsia"/>
              </w:rPr>
              <w:t>的研究成果与国际同行进行了汇报和交流并得到了指导和建议，有利于未来研究方向的确定和研究内容的进一步深入。</w:t>
            </w:r>
          </w:p>
        </w:tc>
      </w:tr>
    </w:tbl>
    <w:p w:rsidR="00AD4793" w:rsidRPr="002C3EA4" w:rsidRDefault="00AD4793" w:rsidP="00AF6652">
      <w:pPr>
        <w:pStyle w:val="Default"/>
        <w:rPr>
          <w:rFonts w:ascii="Times New Roman" w:cs="Times New Roman"/>
        </w:rPr>
      </w:pPr>
    </w:p>
    <w:sectPr w:rsidR="00AD4793" w:rsidRPr="002C3EA4">
      <w:pgSz w:w="11905" w:h="16840"/>
      <w:pgMar w:top="1500" w:right="760" w:bottom="1440" w:left="15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BA" w:rsidRDefault="00B255BA" w:rsidP="001810E8">
      <w:r>
        <w:separator/>
      </w:r>
    </w:p>
  </w:endnote>
  <w:endnote w:type="continuationSeparator" w:id="0">
    <w:p w:rsidR="00B255BA" w:rsidRDefault="00B255BA" w:rsidP="0018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BA" w:rsidRDefault="00B255BA" w:rsidP="001810E8">
      <w:r>
        <w:separator/>
      </w:r>
    </w:p>
  </w:footnote>
  <w:footnote w:type="continuationSeparator" w:id="0">
    <w:p w:rsidR="00B255BA" w:rsidRDefault="00B255BA" w:rsidP="0018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D4"/>
    <w:rsid w:val="00000B65"/>
    <w:rsid w:val="000424D8"/>
    <w:rsid w:val="00095F6F"/>
    <w:rsid w:val="000E50D3"/>
    <w:rsid w:val="001019FD"/>
    <w:rsid w:val="0017703B"/>
    <w:rsid w:val="001810E8"/>
    <w:rsid w:val="00186B32"/>
    <w:rsid w:val="001F4B4A"/>
    <w:rsid w:val="0020725A"/>
    <w:rsid w:val="00220A25"/>
    <w:rsid w:val="00251076"/>
    <w:rsid w:val="00253708"/>
    <w:rsid w:val="0026236F"/>
    <w:rsid w:val="0027578C"/>
    <w:rsid w:val="002C3EA4"/>
    <w:rsid w:val="00342CAA"/>
    <w:rsid w:val="00357A2D"/>
    <w:rsid w:val="00362C8F"/>
    <w:rsid w:val="00382C67"/>
    <w:rsid w:val="0040171F"/>
    <w:rsid w:val="004249AA"/>
    <w:rsid w:val="00462547"/>
    <w:rsid w:val="004A4298"/>
    <w:rsid w:val="00506406"/>
    <w:rsid w:val="005450E4"/>
    <w:rsid w:val="005547DE"/>
    <w:rsid w:val="00606DB8"/>
    <w:rsid w:val="006140D5"/>
    <w:rsid w:val="006405FE"/>
    <w:rsid w:val="00656228"/>
    <w:rsid w:val="006E4B36"/>
    <w:rsid w:val="00732AA3"/>
    <w:rsid w:val="00747540"/>
    <w:rsid w:val="00761891"/>
    <w:rsid w:val="007663C4"/>
    <w:rsid w:val="007934D1"/>
    <w:rsid w:val="007A52F3"/>
    <w:rsid w:val="007D2584"/>
    <w:rsid w:val="007E2C29"/>
    <w:rsid w:val="007E38BC"/>
    <w:rsid w:val="0081760E"/>
    <w:rsid w:val="008407B5"/>
    <w:rsid w:val="008A2494"/>
    <w:rsid w:val="008A7006"/>
    <w:rsid w:val="00927FA2"/>
    <w:rsid w:val="0095360E"/>
    <w:rsid w:val="00953954"/>
    <w:rsid w:val="0096712A"/>
    <w:rsid w:val="009A1B7C"/>
    <w:rsid w:val="009A7ABA"/>
    <w:rsid w:val="009F572F"/>
    <w:rsid w:val="00A27FD2"/>
    <w:rsid w:val="00A3134D"/>
    <w:rsid w:val="00A316EF"/>
    <w:rsid w:val="00A3507A"/>
    <w:rsid w:val="00AA2A77"/>
    <w:rsid w:val="00AB320E"/>
    <w:rsid w:val="00AC4DCE"/>
    <w:rsid w:val="00AD2D6E"/>
    <w:rsid w:val="00AD4793"/>
    <w:rsid w:val="00AF6652"/>
    <w:rsid w:val="00B255BA"/>
    <w:rsid w:val="00B520C4"/>
    <w:rsid w:val="00BA00DB"/>
    <w:rsid w:val="00BA170F"/>
    <w:rsid w:val="00BB67CC"/>
    <w:rsid w:val="00BE334D"/>
    <w:rsid w:val="00BE58EE"/>
    <w:rsid w:val="00BF009B"/>
    <w:rsid w:val="00BF1234"/>
    <w:rsid w:val="00BF67E2"/>
    <w:rsid w:val="00C55293"/>
    <w:rsid w:val="00C958DD"/>
    <w:rsid w:val="00CC536F"/>
    <w:rsid w:val="00CE3396"/>
    <w:rsid w:val="00CF5D82"/>
    <w:rsid w:val="00D325E2"/>
    <w:rsid w:val="00D35A9A"/>
    <w:rsid w:val="00DF5A89"/>
    <w:rsid w:val="00E00807"/>
    <w:rsid w:val="00E450D4"/>
    <w:rsid w:val="00EB1DA6"/>
    <w:rsid w:val="00EB46FA"/>
    <w:rsid w:val="00EB57DA"/>
    <w:rsid w:val="00EE3662"/>
    <w:rsid w:val="00F73C9C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0D4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EB57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8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locked/>
    <w:rsid w:val="00EB57DA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18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810E8"/>
    <w:rPr>
      <w:rFonts w:ascii="Calibri" w:hAnsi="Calibri" w:cs="Times New Roman"/>
      <w:sz w:val="18"/>
      <w:szCs w:val="18"/>
    </w:rPr>
  </w:style>
  <w:style w:type="character" w:customStyle="1" w:styleId="fontstyle01">
    <w:name w:val="fontstyle01"/>
    <w:rsid w:val="007934D1"/>
    <w:rPr>
      <w:rFonts w:ascii="ArialMT" w:hAnsi="ArialMT"/>
      <w:color w:val="000000"/>
      <w:sz w:val="18"/>
    </w:rPr>
  </w:style>
  <w:style w:type="character" w:customStyle="1" w:styleId="Char0">
    <w:name w:val="页脚 Char"/>
    <w:basedOn w:val="a0"/>
    <w:link w:val="a4"/>
    <w:uiPriority w:val="99"/>
    <w:locked/>
    <w:rsid w:val="001810E8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0D4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EB57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8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locked/>
    <w:rsid w:val="00EB57DA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18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810E8"/>
    <w:rPr>
      <w:rFonts w:ascii="Calibri" w:hAnsi="Calibri" w:cs="Times New Roman"/>
      <w:sz w:val="18"/>
      <w:szCs w:val="18"/>
    </w:rPr>
  </w:style>
  <w:style w:type="character" w:customStyle="1" w:styleId="fontstyle01">
    <w:name w:val="fontstyle01"/>
    <w:rsid w:val="007934D1"/>
    <w:rPr>
      <w:rFonts w:ascii="ArialMT" w:hAnsi="ArialMT"/>
      <w:color w:val="000000"/>
      <w:sz w:val="18"/>
    </w:rPr>
  </w:style>
  <w:style w:type="character" w:customStyle="1" w:styleId="Char0">
    <w:name w:val="页脚 Char"/>
    <w:basedOn w:val="a0"/>
    <w:link w:val="a4"/>
    <w:uiPriority w:val="99"/>
    <w:locked/>
    <w:rsid w:val="001810E8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&lt;4D6963726F736F667420576F7264202D20B3F6B7C3CAC2BAF3B9ABCABEB1ED2DBACECCDA2E646F63&gt;</dc:title>
  <dc:creator>Administrator</dc:creator>
  <cp:lastModifiedBy>[周玉红]</cp:lastModifiedBy>
  <cp:revision>2</cp:revision>
  <cp:lastPrinted>2016-03-14T07:20:00Z</cp:lastPrinted>
  <dcterms:created xsi:type="dcterms:W3CDTF">2019-06-06T06:14:00Z</dcterms:created>
  <dcterms:modified xsi:type="dcterms:W3CDTF">2019-06-06T06:14:00Z</dcterms:modified>
</cp:coreProperties>
</file>